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FE5A7" w14:textId="77777777" w:rsidR="008A55B5" w:rsidRDefault="008A55B5">
      <w:pPr>
        <w:pStyle w:val="papertitle"/>
        <w:rPr>
          <w:rFonts w:eastAsia="MS Mincho"/>
        </w:rPr>
      </w:pPr>
      <w:r>
        <w:rPr>
          <w:rFonts w:eastAsia="MS Mincho"/>
        </w:rPr>
        <w:t xml:space="preserve">Paper Title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14:paraId="2C4A3132" w14:textId="77777777" w:rsidR="002D18D2" w:rsidRDefault="002D18D2">
      <w:pPr>
        <w:rPr>
          <w:rFonts w:eastAsia="MS Mincho"/>
        </w:rPr>
      </w:pPr>
      <w:bookmarkStart w:id="0" w:name="_GoBack"/>
      <w:bookmarkEnd w:id="0"/>
    </w:p>
    <w:p w14:paraId="354E11BF" w14:textId="77777777" w:rsidR="002D18D2" w:rsidRDefault="002D18D2">
      <w:pPr>
        <w:rPr>
          <w:rFonts w:eastAsia="MS Mincho"/>
        </w:rPr>
      </w:pPr>
    </w:p>
    <w:p w14:paraId="0F0BAA46" w14:textId="77777777" w:rsidR="002D18D2" w:rsidRDefault="002D18D2">
      <w:pPr>
        <w:rPr>
          <w:rFonts w:eastAsia="MS Mincho"/>
        </w:rPr>
      </w:pPr>
    </w:p>
    <w:p w14:paraId="4D9009C2"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29D33883" w14:textId="77777777" w:rsidR="008A55B5" w:rsidRDefault="008A55B5">
      <w:pPr>
        <w:pStyle w:val="Heading1"/>
        <w:rPr>
          <w:rFonts w:eastAsia="MS Mincho"/>
        </w:rPr>
      </w:pPr>
      <w:r>
        <w:rPr>
          <w:rFonts w:eastAsia="MS Mincho"/>
        </w:rPr>
        <w:lastRenderedPageBreak/>
        <w:t>Introduction (</w:t>
      </w:r>
      <w:r w:rsidRPr="00EA506F">
        <w:rPr>
          <w:rFonts w:eastAsia="MS Mincho"/>
          <w:i/>
          <w:smallCaps w:val="0"/>
        </w:rPr>
        <w:t>Heading 1</w:t>
      </w:r>
      <w:r>
        <w:rPr>
          <w:rFonts w:eastAsia="MS Mincho"/>
        </w:rPr>
        <w:t>)</w:t>
      </w:r>
    </w:p>
    <w:p w14:paraId="272BB5AF" w14:textId="77777777"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2E5C7F9" w14:textId="77777777" w:rsidR="008A55B5" w:rsidRDefault="008A55B5">
      <w:pPr>
        <w:pStyle w:val="Heading1"/>
        <w:rPr>
          <w:rFonts w:eastAsia="MS Mincho"/>
        </w:rPr>
      </w:pPr>
      <w:r>
        <w:rPr>
          <w:rFonts w:eastAsia="MS Mincho"/>
        </w:rPr>
        <w:t>Ease of Use</w:t>
      </w:r>
    </w:p>
    <w:p w14:paraId="54358DA6" w14:textId="77777777" w:rsidR="008A55B5" w:rsidRDefault="008A55B5" w:rsidP="00EF3A1A">
      <w:pPr>
        <w:pStyle w:val="Heading2"/>
      </w:pPr>
      <w:r>
        <w:t>Selecting a Template (Heading 2)</w:t>
      </w:r>
    </w:p>
    <w:p w14:paraId="2587EC41" w14:textId="77777777"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14:paraId="6A7F3002" w14:textId="77777777" w:rsidR="008A55B5" w:rsidRDefault="008A55B5" w:rsidP="00EF3A1A">
      <w:pPr>
        <w:pStyle w:val="Heading2"/>
      </w:pPr>
      <w:r>
        <w:t>Maintaining the Integrity of the Specifications</w:t>
      </w:r>
    </w:p>
    <w:p w14:paraId="2C61B7FC" w14:textId="77777777"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BDC10AB" w14:textId="77777777" w:rsidR="008A55B5" w:rsidRDefault="008A55B5">
      <w:pPr>
        <w:pStyle w:val="Heading1"/>
        <w:rPr>
          <w:rFonts w:eastAsia="MS Mincho"/>
        </w:rPr>
      </w:pPr>
      <w:r>
        <w:rPr>
          <w:rFonts w:eastAsia="MS Mincho"/>
        </w:rPr>
        <w:t>Prepare Your Paper Before Styling</w:t>
      </w:r>
    </w:p>
    <w:p w14:paraId="04784CF6" w14:textId="77777777"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62D2EDE" w14:textId="77777777" w:rsidR="008A55B5" w:rsidRDefault="008A55B5" w:rsidP="00E91219">
      <w:pPr>
        <w:pStyle w:val="BodyText"/>
      </w:pPr>
      <w:r>
        <w:t>Finally, complete content and organizational editing before formatting. Please take note of the following items when proofreading spelling and grammar:</w:t>
      </w:r>
    </w:p>
    <w:p w14:paraId="5E6BC8A6" w14:textId="77777777" w:rsidR="008A55B5" w:rsidRDefault="008A55B5" w:rsidP="00EF3A1A">
      <w:pPr>
        <w:pStyle w:val="Heading2"/>
      </w:pPr>
      <w:r w:rsidRPr="00EF3A1A">
        <w:t>Abbreviations</w:t>
      </w:r>
      <w:r>
        <w:t xml:space="preserve"> and Acronyms</w:t>
      </w:r>
    </w:p>
    <w:p w14:paraId="67FD6583" w14:textId="77777777" w:rsidR="008A55B5" w:rsidRDefault="008A55B5" w:rsidP="00753F7B">
      <w:pPr>
        <w:pStyle w:val="BodyText"/>
      </w:pPr>
      <w:r>
        <w:t xml:space="preserve">Define abbreviations and acronyms the first time they are used in the text, even after they have been defined in the </w:t>
      </w:r>
      <w:r>
        <w:lastRenderedPageBreak/>
        <w:t xml:space="preserve">abstract. Abbreviations such as IEEE, SI, MKS, CGS, sc, dc, and </w:t>
      </w:r>
      <w:proofErr w:type="spellStart"/>
      <w:r>
        <w:t>rms</w:t>
      </w:r>
      <w:proofErr w:type="spellEnd"/>
      <w:r>
        <w:t xml:space="preserve"> do not have to be defined. Do not use abbreviations in the title or heads unless they are unavoidable.</w:t>
      </w:r>
    </w:p>
    <w:p w14:paraId="7F2C514A" w14:textId="77777777" w:rsidR="008A55B5" w:rsidRDefault="008A55B5" w:rsidP="00EF3A1A">
      <w:pPr>
        <w:pStyle w:val="Heading2"/>
      </w:pPr>
      <w:r>
        <w:t>Units</w:t>
      </w:r>
    </w:p>
    <w:p w14:paraId="62378A01"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07B6279A" w14:textId="77777777"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7219ED40"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14:paraId="67AF93D4"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55C7154A" w14:textId="77777777" w:rsidR="008A55B5" w:rsidRDefault="008A55B5" w:rsidP="00EF3A1A">
      <w:pPr>
        <w:pStyle w:val="Heading2"/>
      </w:pPr>
      <w:r>
        <w:t>Equations</w:t>
      </w:r>
    </w:p>
    <w:p w14:paraId="51889997" w14:textId="77777777"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0790A4E" w14:textId="77777777" w:rsidR="008A55B5" w:rsidRDefault="008A55B5" w:rsidP="00753F7B">
      <w:pPr>
        <w:pStyle w:val="BodyText"/>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3E8CFAA6" w14:textId="3A1A9DB4"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p>
    <w:p w14:paraId="41788181" w14:textId="77777777"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470D16F1" w14:textId="77777777" w:rsidR="008A55B5" w:rsidRDefault="008A55B5" w:rsidP="00EF3A1A">
      <w:pPr>
        <w:pStyle w:val="Heading2"/>
      </w:pPr>
      <w:r>
        <w:t>Some Common Mistakes</w:t>
      </w:r>
    </w:p>
    <w:p w14:paraId="5C35F6AA" w14:textId="77777777" w:rsidR="008A55B5" w:rsidRDefault="008A55B5" w:rsidP="008054BC">
      <w:pPr>
        <w:pStyle w:val="bulletlist"/>
      </w:pPr>
      <w:r>
        <w:t xml:space="preserve">The word </w:t>
      </w:r>
      <w:r w:rsidR="004445B3">
        <w:t>“</w:t>
      </w:r>
      <w:r>
        <w:t>data</w:t>
      </w:r>
      <w:r w:rsidR="004445B3">
        <w:t>”</w:t>
      </w:r>
      <w:r>
        <w:t xml:space="preserve"> is plural, not singular.</w:t>
      </w:r>
    </w:p>
    <w:p w14:paraId="1D44ACCE" w14:textId="77777777" w:rsidR="008A55B5" w:rsidRDefault="008A55B5" w:rsidP="008054BC">
      <w:pPr>
        <w:pStyle w:val="bulletlist"/>
      </w:pPr>
      <w:r>
        <w:lastRenderedPageBreak/>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6EA61487"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46E79FF"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4D4B2EB0"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584AE3F0"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4C174B66"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34B46065"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06E2E274"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491634DC"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73F6C904"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5D8A8A46" w14:textId="77777777" w:rsidR="008A55B5" w:rsidRDefault="008A55B5" w:rsidP="00753F7B">
      <w:pPr>
        <w:pStyle w:val="BodyText"/>
      </w:pPr>
      <w:r>
        <w:t>An excellent style manual for science writers is [7].</w:t>
      </w:r>
    </w:p>
    <w:p w14:paraId="26E787F5" w14:textId="77777777" w:rsidR="008A55B5" w:rsidRDefault="008A55B5" w:rsidP="007919DE">
      <w:pPr>
        <w:pStyle w:val="Heading1"/>
        <w:spacing w:before="120"/>
        <w:rPr>
          <w:rFonts w:eastAsia="MS Mincho"/>
        </w:rPr>
      </w:pPr>
      <w:r>
        <w:rPr>
          <w:rFonts w:eastAsia="MS Mincho"/>
        </w:rPr>
        <w:t>Using the Template</w:t>
      </w:r>
    </w:p>
    <w:p w14:paraId="1B578465" w14:textId="77777777"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77EC7A0" w14:textId="77777777" w:rsidR="008A55B5" w:rsidRDefault="008A55B5" w:rsidP="00EF3A1A">
      <w:pPr>
        <w:pStyle w:val="Heading2"/>
      </w:pPr>
      <w:r>
        <w:t>Identify the Headings</w:t>
      </w:r>
    </w:p>
    <w:p w14:paraId="25BCE9B1" w14:textId="77777777" w:rsidR="008A55B5" w:rsidRDefault="008A55B5" w:rsidP="00753F7B">
      <w:pPr>
        <w:pStyle w:val="BodyText"/>
      </w:pPr>
      <w:r>
        <w:t>Headings, or heads, are organizational devices that guide the reader through your paper. There are two types: component heads and text heads.</w:t>
      </w:r>
    </w:p>
    <w:p w14:paraId="5B5DF75A" w14:textId="77777777" w:rsidR="008A55B5" w:rsidRDefault="008A55B5" w:rsidP="00753F7B">
      <w:pPr>
        <w:pStyle w:val="BodyText"/>
      </w:pPr>
      <w:r>
        <w:lastRenderedPageBreak/>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14:paraId="3EE71F8C" w14:textId="77777777"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43B20E42" w14:textId="77777777" w:rsidR="008A55B5" w:rsidRDefault="008A55B5">
      <w:pPr>
        <w:pStyle w:val="Heading5"/>
        <w:rPr>
          <w:rFonts w:eastAsia="MS Mincho"/>
        </w:rPr>
      </w:pPr>
      <w:r>
        <w:rPr>
          <w:rFonts w:eastAsia="MS Mincho"/>
        </w:rPr>
        <w:t>References</w:t>
      </w:r>
    </w:p>
    <w:p w14:paraId="20D9CFFF" w14:textId="77777777" w:rsidR="002D18D2" w:rsidRDefault="002D18D2" w:rsidP="002D18D2">
      <w:pPr>
        <w:pStyle w:val="BodyText"/>
      </w:pPr>
      <w:r>
        <w:t>The template will number citations consecutively within brackets [1]. The sentence punctuation follows the bracket [2]. Refer simply to the reference number, as in [3]—do not use “Ref. [3]” or “reference [3]” except at the beginning of a sentence: “Reference [3] was the first ...”</w:t>
      </w:r>
    </w:p>
    <w:p w14:paraId="5F0D3131" w14:textId="77777777" w:rsidR="002D18D2" w:rsidRDefault="002D18D2" w:rsidP="002D18D2">
      <w:pPr>
        <w:pStyle w:val="BodyText"/>
      </w:pPr>
      <w: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825108D" w14:textId="77777777" w:rsidR="002D18D2" w:rsidRDefault="002D18D2" w:rsidP="002D18D2">
      <w:pPr>
        <w:pStyle w:val="BodyText"/>
      </w:pPr>
      <w:r>
        <w:t>For papers published in translation journals, please give the English citation first, followed by the original foreign-language citation [6].</w:t>
      </w:r>
    </w:p>
    <w:p w14:paraId="60F8AC57" w14:textId="77777777"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14:paraId="3EF86B82"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5B413543"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6FA53FC7"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318C9979"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79E88B40"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6932FD59" w14:textId="77777777" w:rsidR="002D18D2" w:rsidRDefault="008A55B5" w:rsidP="002D18D2">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642E3D22" w14:textId="77777777" w:rsidR="002D18D2" w:rsidRPr="002D18D2" w:rsidRDefault="002D18D2" w:rsidP="002D18D2">
      <w:pPr>
        <w:pStyle w:val="references"/>
        <w:rPr>
          <w:rFonts w:eastAsia="MS Mincho"/>
        </w:rPr>
        <w:sectPr w:rsidR="002D18D2" w:rsidRPr="002D18D2" w:rsidSect="002D18D2">
          <w:type w:val="continuous"/>
          <w:pgSz w:w="11909" w:h="16834" w:code="9"/>
          <w:pgMar w:top="1080" w:right="734" w:bottom="2434" w:left="734" w:header="720" w:footer="720" w:gutter="0"/>
          <w:cols w:num="2" w:space="340"/>
          <w:docGrid w:linePitch="360"/>
        </w:sectPr>
      </w:pPr>
    </w:p>
    <w:p w14:paraId="5CEC4094" w14:textId="77777777" w:rsidR="008A55B5" w:rsidRDefault="008A55B5" w:rsidP="002D18D2">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E02B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4390D"/>
    <w:rsid w:val="000B4641"/>
    <w:rsid w:val="000D58B6"/>
    <w:rsid w:val="0010711E"/>
    <w:rsid w:val="00127EDD"/>
    <w:rsid w:val="00276735"/>
    <w:rsid w:val="002864A3"/>
    <w:rsid w:val="002B3B81"/>
    <w:rsid w:val="002D18D2"/>
    <w:rsid w:val="003A47B5"/>
    <w:rsid w:val="003A59A6"/>
    <w:rsid w:val="004059FE"/>
    <w:rsid w:val="004445B3"/>
    <w:rsid w:val="005A32C6"/>
    <w:rsid w:val="005B520E"/>
    <w:rsid w:val="005B535B"/>
    <w:rsid w:val="006108A4"/>
    <w:rsid w:val="006C4648"/>
    <w:rsid w:val="0072064C"/>
    <w:rsid w:val="007442B3"/>
    <w:rsid w:val="00753F7B"/>
    <w:rsid w:val="007728E9"/>
    <w:rsid w:val="00787C5A"/>
    <w:rsid w:val="007919DE"/>
    <w:rsid w:val="007C0308"/>
    <w:rsid w:val="008014D2"/>
    <w:rsid w:val="008054BC"/>
    <w:rsid w:val="008A55B5"/>
    <w:rsid w:val="008A75C8"/>
    <w:rsid w:val="0097508D"/>
    <w:rsid w:val="00A510F7"/>
    <w:rsid w:val="00AC6519"/>
    <w:rsid w:val="00BB57AD"/>
    <w:rsid w:val="00BF70EA"/>
    <w:rsid w:val="00CB66E6"/>
    <w:rsid w:val="00D03695"/>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B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1455</Words>
  <Characters>8298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Francois</cp:lastModifiedBy>
  <cp:revision>5</cp:revision>
  <dcterms:created xsi:type="dcterms:W3CDTF">2013-12-18T11:26:00Z</dcterms:created>
  <dcterms:modified xsi:type="dcterms:W3CDTF">2018-06-05T10:17:00Z</dcterms:modified>
</cp:coreProperties>
</file>